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1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Hlk15925162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浙江省智能建造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企业评分表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（自评）</w:t>
      </w:r>
    </w:p>
    <w:bookmarkEnd w:id="0"/>
    <w:tbl>
      <w:tblPr>
        <w:tblStyle w:val="8"/>
        <w:tblpPr w:leftFromText="180" w:rightFromText="180" w:vertAnchor="text" w:horzAnchor="page" w:tblpXSpec="center" w:tblpY="384"/>
        <w:tblOverlap w:val="never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54"/>
        <w:gridCol w:w="1663"/>
        <w:gridCol w:w="923"/>
        <w:gridCol w:w="3382"/>
        <w:gridCol w:w="8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满分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组织机构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人员配置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智能建造科研部门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企业建立了智能建造科研、生产部门，且相关负责人具有高级工程师职称或国家注册工程师执业资格，得3分。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智能建造科研团队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从事智能建造技术、标准、产品等研究的人员占企业职工总数的5%及以上的得5分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占1%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5%以下的依次得1、2、3、4分。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智能建造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人才培训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制定智能建造相关人才培训、产业工人培育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计划，并严格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执行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科研资金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投入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智能建造科研投入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2023年智能建造的领域科研投入达到总营业收入0.5%及以上的，得10分；达到总收入0.1%及以上至0.5%以下的，依次得2、4、6、8分。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技术能力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管理能力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互联网管理平台建设情况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建立企业级管理系统得2分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建立项目级管理系统得2分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实现企业级管理系统与项目级管理系统实时互联互通，实现有效管控，得2分。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实施能力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智能建造实施能力得分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基准条件：单个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项目应用智能建造技术覆盖率不低于80%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应用覆盖率=智能装备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实际作业量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本工序总作业量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本工序总作业面积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应用智慧工地相关装备设备每项1分；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应用智能施工相关装备设备，每项2分；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应用智能建造技术、建筑机器人，每项3分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试点示范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能力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省智能建造试点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参评项目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入选省智能建造试点参评项目，每入选一个项目得4分。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设区市级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智能建造试点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设区市级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智能建造试点项目，每个项目得2分，最高得6分。（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同一试点项目就高得分，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不得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与省级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重复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技术成果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科技创新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形成智能建造省级工法、发明专利、科技论文、首台首套情况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首台首套每项10分；发明专利每项5分；省级工法、科技论文、实用新型专利等每项2分。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取得智能建造相关科技奖项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获得国家级及省（部）级科技成果奖得10分；获得地市级科技成果奖每项得2分。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标准编制、修订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企业参与智能建造国家标准编制、修订的，每参编一项得5分，主编一项得10分；参与省级地方标准和国家级协（学）会标准编制、修订的每项得3分，主编每项得5分。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企业标准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编制与智能建造相关的企业标准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每编制一项与智能建造相关的企业技术标准、技术体系得1分。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应用成效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提质增效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开展智能建造探索成效评估</w:t>
            </w: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智能建造工作开展成效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。根据智能建造工作取得的成效进行综合评估，包括质量、安全、进度、成本等，所有成效均需提供详细的佐证材料。每项成效得分不超过10分。本项得分不设上限。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0~10分/项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综合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评分</w:t>
            </w:r>
          </w:p>
        </w:tc>
        <w:tc>
          <w:tcPr>
            <w:tcW w:w="4404" w:type="pct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2484" w:type="pct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960" w:firstLineChars="4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400" w:firstLineChars="1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月  日</w:t>
            </w:r>
          </w:p>
        </w:tc>
        <w:tc>
          <w:tcPr>
            <w:tcW w:w="2515" w:type="pct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400" w:firstLineChars="1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仿宋_GB2312" w:hAnsi="仿宋_GB2312" w:eastAsia="仿宋_GB2312" w:cs="仿宋_GB2312"/>
          <w:sz w:val="15"/>
          <w:szCs w:val="15"/>
        </w:rPr>
      </w:pPr>
    </w:p>
    <w:sectPr>
      <w:footerReference r:id="rId4" w:type="first"/>
      <w:footerReference r:id="rId3" w:type="default"/>
      <w:type w:val="continuous"/>
      <w:pgSz w:w="11906" w:h="16838"/>
      <w:pgMar w:top="1134" w:right="1134" w:bottom="1134" w:left="1134" w:header="851" w:footer="82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Nimbus Roman No9 L" w:hAnsi="Nimbus Roman No9 L" w:cs="Nimbus Roman No9 L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41.243.6:8080/seeyon/officeservlet"/>
  </w:docVars>
  <w:rsids>
    <w:rsidRoot w:val="2B6F0513"/>
    <w:rsid w:val="001A60C7"/>
    <w:rsid w:val="001C2BBE"/>
    <w:rsid w:val="00270B53"/>
    <w:rsid w:val="002E3400"/>
    <w:rsid w:val="003314E9"/>
    <w:rsid w:val="00342473"/>
    <w:rsid w:val="00403A4B"/>
    <w:rsid w:val="004644EF"/>
    <w:rsid w:val="004B5856"/>
    <w:rsid w:val="00507109"/>
    <w:rsid w:val="005228C2"/>
    <w:rsid w:val="00525817"/>
    <w:rsid w:val="00656F3E"/>
    <w:rsid w:val="006573DD"/>
    <w:rsid w:val="006D00D0"/>
    <w:rsid w:val="007D1D52"/>
    <w:rsid w:val="007D290C"/>
    <w:rsid w:val="008920B1"/>
    <w:rsid w:val="008A119E"/>
    <w:rsid w:val="009C1157"/>
    <w:rsid w:val="009C7EF2"/>
    <w:rsid w:val="00A448B8"/>
    <w:rsid w:val="00A90B60"/>
    <w:rsid w:val="00B25D5D"/>
    <w:rsid w:val="00BB0973"/>
    <w:rsid w:val="00BC47E0"/>
    <w:rsid w:val="00BF2FFA"/>
    <w:rsid w:val="00C26FF9"/>
    <w:rsid w:val="00CD6382"/>
    <w:rsid w:val="00D152A2"/>
    <w:rsid w:val="00D55D74"/>
    <w:rsid w:val="00DA353E"/>
    <w:rsid w:val="00DB5D06"/>
    <w:rsid w:val="00DF3924"/>
    <w:rsid w:val="00E51041"/>
    <w:rsid w:val="00E51729"/>
    <w:rsid w:val="00EC6211"/>
    <w:rsid w:val="00F231B1"/>
    <w:rsid w:val="00F35695"/>
    <w:rsid w:val="00F402F8"/>
    <w:rsid w:val="00F60C92"/>
    <w:rsid w:val="0794461B"/>
    <w:rsid w:val="07CFE380"/>
    <w:rsid w:val="0C312426"/>
    <w:rsid w:val="10D85456"/>
    <w:rsid w:val="186438E6"/>
    <w:rsid w:val="255269B4"/>
    <w:rsid w:val="26DD49F2"/>
    <w:rsid w:val="28BA5934"/>
    <w:rsid w:val="29BA6253"/>
    <w:rsid w:val="2B6F0513"/>
    <w:rsid w:val="32AE29AD"/>
    <w:rsid w:val="379C466E"/>
    <w:rsid w:val="3CFF0EB8"/>
    <w:rsid w:val="3DBF060B"/>
    <w:rsid w:val="3E302555"/>
    <w:rsid w:val="3E807582"/>
    <w:rsid w:val="3F0F00EA"/>
    <w:rsid w:val="3FE71E0F"/>
    <w:rsid w:val="3FFF3D76"/>
    <w:rsid w:val="3FFFB14E"/>
    <w:rsid w:val="45B70589"/>
    <w:rsid w:val="4EDED96D"/>
    <w:rsid w:val="4FE7E2C1"/>
    <w:rsid w:val="4FFBDB10"/>
    <w:rsid w:val="575ECD88"/>
    <w:rsid w:val="575FE184"/>
    <w:rsid w:val="577FBA4E"/>
    <w:rsid w:val="5B3E5300"/>
    <w:rsid w:val="5BCFFE7B"/>
    <w:rsid w:val="5D0379E9"/>
    <w:rsid w:val="5F1A66E2"/>
    <w:rsid w:val="5FBF16B5"/>
    <w:rsid w:val="63F754E0"/>
    <w:rsid w:val="66F75F62"/>
    <w:rsid w:val="6EE8E31E"/>
    <w:rsid w:val="6EEADCF1"/>
    <w:rsid w:val="6EFF1212"/>
    <w:rsid w:val="6F71036C"/>
    <w:rsid w:val="6F9D31DE"/>
    <w:rsid w:val="6F9DE677"/>
    <w:rsid w:val="6FFFD3D0"/>
    <w:rsid w:val="6FFFE08B"/>
    <w:rsid w:val="709D7672"/>
    <w:rsid w:val="72DA0233"/>
    <w:rsid w:val="75DF1EEE"/>
    <w:rsid w:val="777FC5D6"/>
    <w:rsid w:val="77FF9994"/>
    <w:rsid w:val="7B7C2D35"/>
    <w:rsid w:val="7B8F0C36"/>
    <w:rsid w:val="7BFB6B54"/>
    <w:rsid w:val="7BFD1AF1"/>
    <w:rsid w:val="7C1A33A7"/>
    <w:rsid w:val="7DFE4F81"/>
    <w:rsid w:val="7EF3EB08"/>
    <w:rsid w:val="7FBF36EB"/>
    <w:rsid w:val="7FD6AEFF"/>
    <w:rsid w:val="7FFF0CDB"/>
    <w:rsid w:val="ACEF736D"/>
    <w:rsid w:val="BEBF490F"/>
    <w:rsid w:val="C77F1E63"/>
    <w:rsid w:val="CF6D323B"/>
    <w:rsid w:val="DC68672F"/>
    <w:rsid w:val="DF47336F"/>
    <w:rsid w:val="DFFF6112"/>
    <w:rsid w:val="E7CB0FA2"/>
    <w:rsid w:val="E8FFC4A1"/>
    <w:rsid w:val="EDF5BFCB"/>
    <w:rsid w:val="EFF75FD4"/>
    <w:rsid w:val="EFFC39F8"/>
    <w:rsid w:val="F3FFDB5A"/>
    <w:rsid w:val="F4FF5729"/>
    <w:rsid w:val="F57BCBF5"/>
    <w:rsid w:val="F6F7D510"/>
    <w:rsid w:val="F70CDC92"/>
    <w:rsid w:val="F7BF80F8"/>
    <w:rsid w:val="FAFFAC33"/>
    <w:rsid w:val="FBBBFB30"/>
    <w:rsid w:val="FBD7DBD7"/>
    <w:rsid w:val="FEA70AB3"/>
    <w:rsid w:val="FF7D9AA4"/>
    <w:rsid w:val="FFF61E0B"/>
    <w:rsid w:val="FFFD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1165</Characters>
  <Lines>9</Lines>
  <Paragraphs>2</Paragraphs>
  <TotalTime>6</TotalTime>
  <ScaleCrop>false</ScaleCrop>
  <LinksUpToDate>false</LinksUpToDate>
  <CharactersWithSpaces>1367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2024-02-21T15:12:00Z</dcterms:created>
  <dc:creator>谢锦波</dc:creator>
  <cp:lastModifiedBy>user</cp:lastModifiedBy>
  <cp:lastPrinted>2024-02-23T09:52:00Z</cp:lastPrinted>
  <dcterms:modified xsi:type="dcterms:W3CDTF">2024-08-20T11:39:52Z</dcterms:modified>
  <dc:title>关于印发武汉市智能建造试点项目、试点企业、试点工厂评价表的通知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文种">
    <vt:lpwstr>unknow</vt:lpwstr>
  </property>
</Properties>
</file>